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Lista obecności na wydarzeniu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“...................................................................................................................”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termin……………………….miejsce………………………………….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170"/>
        <w:gridCol w:w="4460"/>
        <w:gridCol w:w="4404"/>
        <w:tblGridChange w:id="0">
          <w:tblGrid>
            <w:gridCol w:w="1170"/>
            <w:gridCol w:w="4460"/>
            <w:gridCol w:w="440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 O PRZETWARZANIU DANYCH OSOBOWYCH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Zgodnie z ogólnym rozporządzenia Parlamentu Europejskiego i Rady (UE) 2016/679 z dnia 27 kwietnia 2016 r. w sprawie ochrony osób ﬁzycznych w związku z przetwarzaniem danych osobowych i w sprawie swobodnego przepływu takich danych oraz uchylenia dyrektywy 95/46/WE (zwanego dalej Rozporządzenia RODO) informujemy iż: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2" w:right="0" w:hanging="2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Pani/Pana danych osobowych jest: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[WPISAĆ NAZWĘ ORGANIZACJI PATRONA, ADRES I NUMER W REJESTRZE]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2" w:right="0" w:hanging="2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 do administratora: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[WPISAĆ ADRE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E-MAIL ORGANIZACJI PATRONA]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Administrator będzie przetwarzał następujące Pani/Pana dane osobowe: imię, nazwisko, wizerunek.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Pani/Pana dane osobowe przetwarzane będą w związku z realizacj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Inicjatywy w ramach Świętokrzyskiego Funduszu Lokalnego: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a) osoba, której dane dotyczą wyraziła zgodę na przetwarzanie swoich danych osobowych w jednym lub większej liczbie określonych celów;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b) przetwarzanie jest niezbędne do wykonania umowy, której stroną jest osoba, której dane dotyczą, lub do podjęcia działań na żądanie osoby, której dane dotyczą, przed zawarciem umowy;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c) przetwarzanie jest niezbędne do wypełnienia obowiązku prawnego ciążącego na administratorze;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e) przetwarzanie jest niezbędne do wykonania zadania realizowanego w interesie publicznym lub w ramach sprawowania władzy publicznej powierzonej administratorowi;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f) przetwarzanie jest niezbędne do celów wynikających z prawnie uzasadnionych interesów realizowanych przez administratora lub przez stronę trzecią,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5.Odbiorcą Pani/Pana danych osobowych będą organy administracji publicznej oraz Operator programu Świętokrzyski Fundusz Lokalny - Fundacja imienia Stefana Artwińskiego z siedzibą w Kielcach, jeżeli jest to niezbędne do wypełnienia obowiązku prawnego, jak również instytucje, które wykażą w tym celu interes prawny.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Pani/Pana dane osobowe nie będą przekazywane do państwa trzeciego/organizacji międzynarodowej.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7.Pani/Pana dane osobowe będą przechowywane przez 10 lat od zakończenia roku, w którym dane pozyskano.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Posiada Pani/Pan prawo dostępu do treści swoich danych,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9.. Ma Pani/Pan prawo wniesienia skargi do Prezesa UODO, gdy uzna Pani/Pan, iż przetwarzanie danych osobowych narusza przepisy ogólnego rozporządzenia o ochronie danych osobowych.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10.Podanie przez Panią/Pana danych osobowych jest warunkiem zawarcia umowy. Jest Pani/Pan zobowiązana/y do ich podania, a odmowa wyrażenia zgody lub cofnięcie zgody na ich przetwarzanie jest równoznaczne z rezygnacją z udziału w realizacji Inicjatywy.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11.Pani/Pana dane nie będą przetwarzane w sposób zautomatyzowany, w tym również w formie proﬁlowania.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7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65188" cy="1321682"/>
          <wp:effectExtent b="0" l="0" r="0" t="0"/>
          <wp:docPr descr="image1.png" id="1073741826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5188" cy="13216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11" w:hanging="210.9999999999995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QPZj2AkyU47M8GR8lh8InjTqg==">CgMxLjA4AHIhMXE0NUk0R2twa1hyaXFJaVBwYklldDlXWE1xU3gwMnR5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